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13622" w:rsidRPr="008517B5" w14:paraId="03AE56BC" w14:textId="77777777" w:rsidTr="00E16134">
        <w:trPr>
          <w:trHeight w:val="370"/>
        </w:trPr>
        <w:tc>
          <w:tcPr>
            <w:tcW w:w="9639" w:type="dxa"/>
            <w:tcBorders>
              <w:top w:val="nil"/>
              <w:bottom w:val="single" w:sz="4" w:space="0" w:color="161A48"/>
            </w:tcBorders>
          </w:tcPr>
          <w:p w14:paraId="768266CA" w14:textId="77777777" w:rsidR="00B13622" w:rsidRPr="008517B5" w:rsidRDefault="00B13622" w:rsidP="00E16134">
            <w:pPr>
              <w:pStyle w:val="Nadpisobsahu"/>
              <w:tabs>
                <w:tab w:val="left" w:pos="6300"/>
                <w:tab w:val="left" w:pos="8395"/>
              </w:tabs>
            </w:pPr>
            <w:r>
              <w:tab/>
            </w:r>
            <w:r>
              <w:tab/>
            </w:r>
          </w:p>
        </w:tc>
      </w:tr>
      <w:tr w:rsidR="00B13622" w14:paraId="4FE42AED" w14:textId="77777777" w:rsidTr="00E16134">
        <w:trPr>
          <w:trHeight w:val="370"/>
        </w:trPr>
        <w:tc>
          <w:tcPr>
            <w:tcW w:w="9639" w:type="dxa"/>
            <w:tcBorders>
              <w:top w:val="single" w:sz="4" w:space="0" w:color="161A48"/>
              <w:bottom w:val="single" w:sz="18" w:space="0" w:color="161A48"/>
            </w:tcBorders>
          </w:tcPr>
          <w:p w14:paraId="52422DCE" w14:textId="77777777" w:rsidR="00B13622" w:rsidRDefault="00B13622" w:rsidP="00E16134">
            <w:pPr>
              <w:pStyle w:val="tvar"/>
              <w:spacing w:before="120" w:after="120"/>
              <w:ind w:left="-109"/>
            </w:pPr>
            <w:r>
              <w:t>Rada pro výzkum, vývoj a inovace</w:t>
            </w:r>
          </w:p>
        </w:tc>
      </w:tr>
    </w:tbl>
    <w:p w14:paraId="2523333B" w14:textId="4B0AF6D8" w:rsidR="008627FE" w:rsidRDefault="00F0729D" w:rsidP="008627FE">
      <w:pPr>
        <w:autoSpaceDE w:val="0"/>
        <w:autoSpaceDN w:val="0"/>
        <w:adjustRightInd w:val="0"/>
        <w:spacing w:before="120" w:after="120" w:line="276" w:lineRule="auto"/>
        <w:jc w:val="center"/>
        <w:rPr>
          <w:rFonts w:ascii="Arial" w:hAnsi="Arial" w:cs="Arial"/>
          <w:b/>
          <w:color w:val="0070C0"/>
          <w:sz w:val="28"/>
          <w:szCs w:val="28"/>
        </w:rPr>
      </w:pPr>
      <w:r w:rsidRPr="00F0729D">
        <w:rPr>
          <w:bCs/>
        </w:rPr>
        <w:t xml:space="preserve"> </w:t>
      </w:r>
      <w:r w:rsidRPr="00F0729D">
        <w:rPr>
          <w:rFonts w:ascii="Arial" w:hAnsi="Arial" w:cs="Arial"/>
          <w:b/>
          <w:color w:val="0070C0"/>
          <w:sz w:val="28"/>
          <w:szCs w:val="28"/>
        </w:rPr>
        <w:t>První evaluační zpráva projektu sdílených činností Prohloubení integrace výzkumného a inovačního ekosystému ČR do</w:t>
      </w:r>
      <w:r>
        <w:rPr>
          <w:rFonts w:ascii="Arial" w:hAnsi="Arial" w:cs="Arial"/>
          <w:b/>
          <w:color w:val="0070C0"/>
          <w:sz w:val="28"/>
          <w:szCs w:val="28"/>
        </w:rPr>
        <w:t> </w:t>
      </w:r>
      <w:r w:rsidRPr="00F0729D">
        <w:rPr>
          <w:rFonts w:ascii="Arial" w:hAnsi="Arial" w:cs="Arial"/>
          <w:b/>
          <w:color w:val="0070C0"/>
          <w:sz w:val="28"/>
          <w:szCs w:val="28"/>
        </w:rPr>
        <w:t>Evropského výzkumného prostoru a podpora intenzivní mezinárodní spolupráce výzkumných organizací a podniků ČR ve</w:t>
      </w:r>
      <w:r>
        <w:rPr>
          <w:rFonts w:ascii="Arial" w:hAnsi="Arial" w:cs="Arial"/>
          <w:b/>
          <w:color w:val="0070C0"/>
          <w:sz w:val="28"/>
          <w:szCs w:val="28"/>
        </w:rPr>
        <w:t> </w:t>
      </w:r>
      <w:r w:rsidRPr="00F0729D">
        <w:rPr>
          <w:rFonts w:ascii="Arial" w:hAnsi="Arial" w:cs="Arial"/>
          <w:b/>
          <w:color w:val="0070C0"/>
          <w:sz w:val="28"/>
          <w:szCs w:val="28"/>
        </w:rPr>
        <w:t>výzkumu, vývoji a inovacích (CZERA) za období 2021–2024</w:t>
      </w:r>
    </w:p>
    <w:p w14:paraId="10EE1C34" w14:textId="158A72A7" w:rsidR="00681BC4" w:rsidRDefault="00681BC4" w:rsidP="008627FE">
      <w:pPr>
        <w:autoSpaceDE w:val="0"/>
        <w:autoSpaceDN w:val="0"/>
        <w:adjustRightInd w:val="0"/>
        <w:spacing w:before="120" w:after="120" w:line="276" w:lineRule="auto"/>
        <w:jc w:val="both"/>
        <w:rPr>
          <w:rFonts w:ascii="Arial" w:hAnsi="Arial" w:cs="Arial"/>
          <w:bCs/>
          <w:sz w:val="22"/>
          <w:szCs w:val="22"/>
        </w:rPr>
      </w:pPr>
      <w:r w:rsidRPr="0010248D">
        <w:rPr>
          <w:rFonts w:ascii="Arial" w:hAnsi="Arial" w:cs="Arial"/>
          <w:bCs/>
          <w:sz w:val="22"/>
          <w:szCs w:val="22"/>
        </w:rPr>
        <w:t xml:space="preserve">Radě pro výzkum, vývoj a inovace (dále jen „Rada“) je předložen materiál Ministerstva školství, mládeže a tělovýchovy s názvem </w:t>
      </w:r>
      <w:r w:rsidR="00F0729D" w:rsidRPr="006C4791">
        <w:rPr>
          <w:rFonts w:ascii="Arial" w:hAnsi="Arial" w:cs="Arial"/>
          <w:bCs/>
          <w:sz w:val="22"/>
          <w:szCs w:val="22"/>
        </w:rPr>
        <w:t>První evaluační zpráva projektu sdílených činností „Prohloubení integrace výzkumného a inovačního ekosystému ČR do Evropského výzkumného prostoru a podpora intenzivní mezinárodní spolupráce výzkumných organizací a</w:t>
      </w:r>
      <w:r w:rsidR="00F0729D">
        <w:rPr>
          <w:rFonts w:ascii="Arial" w:hAnsi="Arial" w:cs="Arial"/>
          <w:bCs/>
          <w:sz w:val="22"/>
          <w:szCs w:val="22"/>
        </w:rPr>
        <w:t> </w:t>
      </w:r>
      <w:r w:rsidR="00F0729D" w:rsidRPr="006C4791">
        <w:rPr>
          <w:rFonts w:ascii="Arial" w:hAnsi="Arial" w:cs="Arial"/>
          <w:bCs/>
          <w:sz w:val="22"/>
          <w:szCs w:val="22"/>
        </w:rPr>
        <w:t xml:space="preserve">podniků ČR ve výzkumu, vývoji a inovacích (CZERA)“ </w:t>
      </w:r>
      <w:r w:rsidR="00F0729D" w:rsidRPr="006C4791">
        <w:rPr>
          <w:rStyle w:val="Siln"/>
          <w:rFonts w:ascii="Arial" w:hAnsi="Arial" w:cs="Arial"/>
          <w:b w:val="0"/>
          <w:sz w:val="22"/>
          <w:szCs w:val="22"/>
        </w:rPr>
        <w:t>za období 2021–2024</w:t>
      </w:r>
      <w:r w:rsidR="00F0729D" w:rsidRPr="006C4791">
        <w:rPr>
          <w:rFonts w:ascii="Arial" w:hAnsi="Arial" w:cs="Arial"/>
          <w:b/>
          <w:sz w:val="22"/>
          <w:szCs w:val="22"/>
        </w:rPr>
        <w:t>“</w:t>
      </w:r>
      <w:r w:rsidR="00F0729D" w:rsidRPr="006C4791">
        <w:rPr>
          <w:rFonts w:ascii="Arial" w:hAnsi="Arial" w:cs="Arial"/>
          <w:bCs/>
          <w:sz w:val="22"/>
          <w:szCs w:val="22"/>
        </w:rPr>
        <w:t xml:space="preserve"> (dále jen „Evaluační zpráva CZERA“)</w:t>
      </w:r>
      <w:r w:rsidR="00F0729D">
        <w:rPr>
          <w:rFonts w:ascii="Arial" w:hAnsi="Arial" w:cs="Arial"/>
          <w:bCs/>
          <w:sz w:val="22"/>
          <w:szCs w:val="22"/>
        </w:rPr>
        <w:t xml:space="preserve">. </w:t>
      </w:r>
      <w:r w:rsidRPr="0010248D">
        <w:rPr>
          <w:rFonts w:ascii="Arial" w:hAnsi="Arial" w:cs="Arial"/>
          <w:bCs/>
          <w:sz w:val="22"/>
          <w:szCs w:val="22"/>
        </w:rPr>
        <w:t>Evaluační zpráva CZE</w:t>
      </w:r>
      <w:r w:rsidR="00F0729D">
        <w:rPr>
          <w:rFonts w:ascii="Arial" w:hAnsi="Arial" w:cs="Arial"/>
          <w:bCs/>
          <w:sz w:val="22"/>
          <w:szCs w:val="22"/>
        </w:rPr>
        <w:t>RA</w:t>
      </w:r>
      <w:r w:rsidRPr="0010248D">
        <w:rPr>
          <w:rFonts w:ascii="Arial" w:hAnsi="Arial" w:cs="Arial"/>
          <w:bCs/>
          <w:sz w:val="22"/>
          <w:szCs w:val="22"/>
        </w:rPr>
        <w:t xml:space="preserve"> byla zaslána ministrovi pro vědu, výzkum a inovace a předsedovi Rady pro výzkum, vývoj a inovace k projednání Radou dopisem ministra školství, mládeže a tělovýchovy dne 8. dubna 2025 čj. MŠMT-60</w:t>
      </w:r>
      <w:r w:rsidR="00F0729D">
        <w:rPr>
          <w:rFonts w:ascii="Arial" w:hAnsi="Arial" w:cs="Arial"/>
          <w:bCs/>
          <w:sz w:val="22"/>
          <w:szCs w:val="22"/>
        </w:rPr>
        <w:t>44</w:t>
      </w:r>
      <w:r w:rsidRPr="0010248D">
        <w:rPr>
          <w:rFonts w:ascii="Arial" w:hAnsi="Arial" w:cs="Arial"/>
          <w:bCs/>
          <w:sz w:val="22"/>
          <w:szCs w:val="22"/>
        </w:rPr>
        <w:t>/2025-4.</w:t>
      </w:r>
    </w:p>
    <w:p w14:paraId="0BCB5583" w14:textId="77777777" w:rsidR="00F0729D" w:rsidRPr="00F60CA9" w:rsidRDefault="00F0729D" w:rsidP="00F0729D">
      <w:pPr>
        <w:spacing w:after="120"/>
        <w:jc w:val="both"/>
        <w:rPr>
          <w:rFonts w:ascii="Arial" w:hAnsi="Arial" w:cs="Arial"/>
          <w:sz w:val="22"/>
          <w:szCs w:val="22"/>
        </w:rPr>
      </w:pPr>
      <w:r w:rsidRPr="00F60CA9">
        <w:rPr>
          <w:rFonts w:ascii="Arial" w:hAnsi="Arial" w:cs="Arial"/>
          <w:sz w:val="22"/>
          <w:szCs w:val="22"/>
        </w:rPr>
        <w:t>Projekt sdílených činností CZERA byl schválen usnesením vlády ze dne 25. ledna 2021 č. 71. Předmětné usnesení ukládá v bodu II. 2. ministru školství, mládeže a tělovýchovy předložit vládě pro informaci do 30. června 2025 a 30. června 2028 výstupy evaluační zprávy o řešení CZERA. Doba realizace projektu pokrývá období od 1. ledna 2021 do 31. prosince 2027. Příjemcem podpory je Technologické centrum Praha z.s.p.o. (TC Praha), dalšími účastníky projektu jsou Sociologický ústav AV ČR, v.v.i. a Středisko společných činností AV ČR, v.v.i.</w:t>
      </w:r>
    </w:p>
    <w:p w14:paraId="129C2A61" w14:textId="77777777" w:rsidR="00F0729D" w:rsidRDefault="00F0729D" w:rsidP="00F0729D">
      <w:pPr>
        <w:spacing w:after="120"/>
        <w:jc w:val="both"/>
        <w:rPr>
          <w:rFonts w:ascii="Arial" w:hAnsi="Arial" w:cs="Arial"/>
          <w:sz w:val="22"/>
          <w:szCs w:val="22"/>
        </w:rPr>
      </w:pPr>
      <w:r>
        <w:rPr>
          <w:rFonts w:ascii="Arial" w:hAnsi="Arial" w:cs="Arial"/>
          <w:sz w:val="22"/>
          <w:szCs w:val="22"/>
        </w:rPr>
        <w:t>E</w:t>
      </w:r>
      <w:r w:rsidRPr="00F60CA9">
        <w:rPr>
          <w:rFonts w:ascii="Arial" w:hAnsi="Arial" w:cs="Arial"/>
          <w:sz w:val="22"/>
          <w:szCs w:val="22"/>
        </w:rPr>
        <w:t xml:space="preserve">valuační zpráva </w:t>
      </w:r>
      <w:r>
        <w:rPr>
          <w:rFonts w:ascii="Arial" w:hAnsi="Arial" w:cs="Arial"/>
          <w:sz w:val="22"/>
          <w:szCs w:val="22"/>
        </w:rPr>
        <w:t xml:space="preserve">CZERA </w:t>
      </w:r>
      <w:r w:rsidRPr="00F60CA9">
        <w:rPr>
          <w:rFonts w:ascii="Arial" w:hAnsi="Arial" w:cs="Arial"/>
          <w:sz w:val="22"/>
          <w:szCs w:val="22"/>
        </w:rPr>
        <w:t xml:space="preserve">pokrývá období od 1. </w:t>
      </w:r>
      <w:r>
        <w:rPr>
          <w:rFonts w:ascii="Arial" w:hAnsi="Arial" w:cs="Arial"/>
          <w:sz w:val="22"/>
          <w:szCs w:val="22"/>
        </w:rPr>
        <w:t>ledna</w:t>
      </w:r>
      <w:r w:rsidRPr="00F60CA9">
        <w:rPr>
          <w:rFonts w:ascii="Arial" w:hAnsi="Arial" w:cs="Arial"/>
          <w:sz w:val="22"/>
          <w:szCs w:val="22"/>
        </w:rPr>
        <w:t xml:space="preserve"> 2021 do 30. </w:t>
      </w:r>
      <w:r>
        <w:rPr>
          <w:rFonts w:ascii="Arial" w:hAnsi="Arial" w:cs="Arial"/>
          <w:sz w:val="22"/>
          <w:szCs w:val="22"/>
        </w:rPr>
        <w:t>listopadu</w:t>
      </w:r>
      <w:r w:rsidRPr="00F60CA9">
        <w:rPr>
          <w:rFonts w:ascii="Arial" w:hAnsi="Arial" w:cs="Arial"/>
          <w:sz w:val="22"/>
          <w:szCs w:val="22"/>
        </w:rPr>
        <w:t xml:space="preserve"> 2024. Celkový rozpočet na</w:t>
      </w:r>
      <w:r>
        <w:rPr>
          <w:rFonts w:ascii="Arial" w:hAnsi="Arial" w:cs="Arial"/>
          <w:sz w:val="22"/>
          <w:szCs w:val="22"/>
        </w:rPr>
        <w:t> </w:t>
      </w:r>
      <w:r w:rsidRPr="00F60CA9">
        <w:rPr>
          <w:rFonts w:ascii="Arial" w:hAnsi="Arial" w:cs="Arial"/>
          <w:sz w:val="22"/>
          <w:szCs w:val="22"/>
        </w:rPr>
        <w:t>tento projekt za roky 2021–2027 činí 289 886 056,00 Kč.</w:t>
      </w:r>
    </w:p>
    <w:p w14:paraId="0C129007" w14:textId="49524F48" w:rsidR="00F0729D" w:rsidRPr="000D1CCC" w:rsidRDefault="00F0729D" w:rsidP="00F0729D">
      <w:pPr>
        <w:spacing w:after="120"/>
        <w:jc w:val="both"/>
        <w:rPr>
          <w:rFonts w:ascii="Arial" w:hAnsi="Arial" w:cs="Arial"/>
          <w:sz w:val="22"/>
          <w:szCs w:val="22"/>
        </w:rPr>
      </w:pPr>
      <w:r w:rsidRPr="00C65B6E">
        <w:rPr>
          <w:rFonts w:ascii="Arial" w:hAnsi="Arial" w:cs="Arial"/>
          <w:sz w:val="22"/>
          <w:szCs w:val="22"/>
        </w:rPr>
        <w:t>Evaluační zpráva CZERA popisuje plnění cílů projektu za uvedené roky v rámci jednotlivých modulů</w:t>
      </w:r>
      <w:r>
        <w:rPr>
          <w:rFonts w:ascii="Arial" w:hAnsi="Arial" w:cs="Arial"/>
          <w:sz w:val="22"/>
          <w:szCs w:val="22"/>
        </w:rPr>
        <w:t xml:space="preserve"> ve struktuře cíl, popis činnosti, dopad aktivit. Zpráva tak mapuje činnost: </w:t>
      </w:r>
      <w:r w:rsidRPr="000D1CCC">
        <w:rPr>
          <w:rFonts w:ascii="Arial" w:hAnsi="Arial" w:cs="Arial"/>
          <w:sz w:val="22"/>
          <w:szCs w:val="22"/>
        </w:rPr>
        <w:t>Národního informačního centra pro evropský výzkum při TC Praha – NICER (pod vedením TC Praha),</w:t>
      </w:r>
      <w:r>
        <w:rPr>
          <w:rFonts w:ascii="Arial" w:hAnsi="Arial" w:cs="Arial"/>
          <w:sz w:val="22"/>
          <w:szCs w:val="22"/>
        </w:rPr>
        <w:t xml:space="preserve"> </w:t>
      </w:r>
      <w:r w:rsidRPr="000D1CCC">
        <w:rPr>
          <w:rFonts w:ascii="Arial" w:hAnsi="Arial" w:cs="Arial"/>
          <w:sz w:val="22"/>
          <w:szCs w:val="22"/>
        </w:rPr>
        <w:t>Národního kontaktního centra (NKC) – gender a věda pro oblast genderové rovnosti a</w:t>
      </w:r>
      <w:r>
        <w:rPr>
          <w:rFonts w:ascii="Arial" w:hAnsi="Arial" w:cs="Arial"/>
          <w:sz w:val="22"/>
          <w:szCs w:val="22"/>
        </w:rPr>
        <w:t> </w:t>
      </w:r>
      <w:r w:rsidRPr="000D1CCC">
        <w:rPr>
          <w:rFonts w:ascii="Arial" w:hAnsi="Arial" w:cs="Arial"/>
          <w:sz w:val="22"/>
          <w:szCs w:val="22"/>
        </w:rPr>
        <w:t xml:space="preserve">genderového </w:t>
      </w:r>
      <w:proofErr w:type="spellStart"/>
      <w:r w:rsidRPr="000D1CCC">
        <w:rPr>
          <w:rFonts w:ascii="Arial" w:hAnsi="Arial" w:cs="Arial"/>
          <w:sz w:val="22"/>
          <w:szCs w:val="22"/>
        </w:rPr>
        <w:t>mainstreamingu</w:t>
      </w:r>
      <w:proofErr w:type="spellEnd"/>
      <w:r w:rsidRPr="000D1CCC">
        <w:rPr>
          <w:rFonts w:ascii="Arial" w:hAnsi="Arial" w:cs="Arial"/>
          <w:sz w:val="22"/>
          <w:szCs w:val="22"/>
        </w:rPr>
        <w:t xml:space="preserve"> v Horizontu Evropa (pod vedením Sociologického ústavu AV</w:t>
      </w:r>
      <w:r w:rsidR="008666CD">
        <w:rPr>
          <w:rFonts w:ascii="Arial" w:hAnsi="Arial" w:cs="Arial"/>
          <w:sz w:val="22"/>
          <w:szCs w:val="22"/>
        </w:rPr>
        <w:t> </w:t>
      </w:r>
      <w:r w:rsidRPr="000D1CCC">
        <w:rPr>
          <w:rFonts w:ascii="Arial" w:hAnsi="Arial" w:cs="Arial"/>
          <w:sz w:val="22"/>
          <w:szCs w:val="22"/>
        </w:rPr>
        <w:t>ČR)</w:t>
      </w:r>
      <w:r>
        <w:rPr>
          <w:rFonts w:ascii="Arial" w:hAnsi="Arial" w:cs="Arial"/>
          <w:sz w:val="22"/>
          <w:szCs w:val="22"/>
        </w:rPr>
        <w:t xml:space="preserve"> a </w:t>
      </w:r>
      <w:r w:rsidRPr="000D1CCC">
        <w:rPr>
          <w:rFonts w:ascii="Arial" w:hAnsi="Arial" w:cs="Arial"/>
          <w:sz w:val="22"/>
          <w:szCs w:val="22"/>
        </w:rPr>
        <w:t>EURAXESS ČR (pod vedením Střediska společných činností AV ČR), které poskytuje informace související se vstupními podmínkami do ČR pro zahraniční vědce a</w:t>
      </w:r>
      <w:r w:rsidR="008666CD">
        <w:rPr>
          <w:rFonts w:ascii="Arial" w:hAnsi="Arial" w:cs="Arial"/>
          <w:sz w:val="22"/>
          <w:szCs w:val="22"/>
        </w:rPr>
        <w:t> </w:t>
      </w:r>
      <w:r w:rsidRPr="000D1CCC">
        <w:rPr>
          <w:rFonts w:ascii="Arial" w:hAnsi="Arial" w:cs="Arial"/>
          <w:sz w:val="22"/>
          <w:szCs w:val="22"/>
        </w:rPr>
        <w:t>vědkyně a</w:t>
      </w:r>
      <w:r>
        <w:rPr>
          <w:rFonts w:ascii="Arial" w:hAnsi="Arial" w:cs="Arial"/>
          <w:sz w:val="22"/>
          <w:szCs w:val="22"/>
        </w:rPr>
        <w:t> </w:t>
      </w:r>
      <w:r w:rsidRPr="000D1CCC">
        <w:rPr>
          <w:rFonts w:ascii="Arial" w:hAnsi="Arial" w:cs="Arial"/>
          <w:sz w:val="22"/>
          <w:szCs w:val="22"/>
        </w:rPr>
        <w:t>napomáhá jim se všemi praktickými aspekty života v ČR.</w:t>
      </w:r>
    </w:p>
    <w:p w14:paraId="427C4BDE" w14:textId="6DA6695D" w:rsidR="00F0729D" w:rsidRPr="00F0729D" w:rsidRDefault="00F0729D" w:rsidP="008627FE">
      <w:pPr>
        <w:autoSpaceDE w:val="0"/>
        <w:autoSpaceDN w:val="0"/>
        <w:adjustRightInd w:val="0"/>
        <w:spacing w:before="120" w:after="120" w:line="276" w:lineRule="auto"/>
        <w:jc w:val="both"/>
        <w:rPr>
          <w:rFonts w:ascii="Arial" w:hAnsi="Arial" w:cs="Arial"/>
          <w:bCs/>
          <w:sz w:val="22"/>
          <w:szCs w:val="22"/>
        </w:rPr>
      </w:pPr>
      <w:r w:rsidRPr="000D1CCC">
        <w:rPr>
          <w:rFonts w:ascii="Arial" w:hAnsi="Arial" w:cs="Arial"/>
          <w:sz w:val="22"/>
          <w:szCs w:val="22"/>
        </w:rPr>
        <w:t>Evaluační zpráva CZERA byla projednána Řídícím výborem CZERA na základě dvou oponentních posudků dne 4. února 2025, přičemž v jednom případě byl projekt ohodnocen stupněm V (dosáhl vynikajících výsledků mezinárodního významu) a v jednom případě stupněm U (uspěl podle zadání).</w:t>
      </w:r>
    </w:p>
    <w:p w14:paraId="2D7FC3DF" w14:textId="3F0AAE62" w:rsidR="00681BC4" w:rsidRPr="0010248D" w:rsidRDefault="00681BC4" w:rsidP="00681BC4">
      <w:pPr>
        <w:framePr w:hSpace="141" w:wrap="around" w:vAnchor="page" w:hAnchor="margin" w:y="2963"/>
        <w:spacing w:after="120"/>
        <w:rPr>
          <w:rFonts w:ascii="Arial" w:hAnsi="Arial" w:cs="Arial"/>
          <w:sz w:val="22"/>
          <w:szCs w:val="22"/>
        </w:rPr>
      </w:pPr>
    </w:p>
    <w:p w14:paraId="6573C174" w14:textId="5E478526" w:rsidR="0030012B" w:rsidRPr="0010248D" w:rsidRDefault="00681BC4" w:rsidP="0010248D">
      <w:pPr>
        <w:spacing w:after="120"/>
        <w:jc w:val="both"/>
        <w:rPr>
          <w:rFonts w:ascii="Arial" w:hAnsi="Arial" w:cs="Arial"/>
          <w:sz w:val="22"/>
          <w:szCs w:val="22"/>
        </w:rPr>
      </w:pPr>
      <w:r w:rsidRPr="0010248D">
        <w:rPr>
          <w:rFonts w:ascii="Arial" w:hAnsi="Arial" w:cs="Arial"/>
          <w:sz w:val="22"/>
          <w:szCs w:val="22"/>
        </w:rPr>
        <w:t>Poznámka: Jednání Řídícího výboru CZE</w:t>
      </w:r>
      <w:r w:rsidR="00F0729D">
        <w:rPr>
          <w:rFonts w:ascii="Arial" w:hAnsi="Arial" w:cs="Arial"/>
          <w:sz w:val="22"/>
          <w:szCs w:val="22"/>
        </w:rPr>
        <w:t>RA</w:t>
      </w:r>
      <w:r w:rsidRPr="0010248D">
        <w:rPr>
          <w:rFonts w:ascii="Arial" w:hAnsi="Arial" w:cs="Arial"/>
          <w:sz w:val="22"/>
          <w:szCs w:val="22"/>
        </w:rPr>
        <w:t xml:space="preserve"> se v současné době jako členka účastní Mgr.</w:t>
      </w:r>
      <w:r w:rsidR="0010248D">
        <w:rPr>
          <w:rFonts w:ascii="Arial" w:hAnsi="Arial" w:cs="Arial"/>
          <w:sz w:val="22"/>
          <w:szCs w:val="22"/>
        </w:rPr>
        <w:t> </w:t>
      </w:r>
      <w:r w:rsidRPr="0010248D">
        <w:rPr>
          <w:rFonts w:ascii="Arial" w:hAnsi="Arial" w:cs="Arial"/>
          <w:sz w:val="22"/>
          <w:szCs w:val="22"/>
        </w:rPr>
        <w:t>Dana Bilíková,</w:t>
      </w:r>
      <w:r w:rsidR="0010248D">
        <w:rPr>
          <w:rFonts w:ascii="Arial" w:hAnsi="Arial" w:cs="Arial"/>
          <w:sz w:val="22"/>
          <w:szCs w:val="22"/>
        </w:rPr>
        <w:t xml:space="preserve"> vrchní ředitelka Sekce pro vědu, výzkum a inovace, a </w:t>
      </w:r>
      <w:r w:rsidRPr="0010248D">
        <w:rPr>
          <w:rFonts w:ascii="Arial" w:hAnsi="Arial" w:cs="Arial"/>
          <w:sz w:val="22"/>
          <w:szCs w:val="22"/>
        </w:rPr>
        <w:t>z pozice experta Aleš Bříza</w:t>
      </w:r>
      <w:r w:rsidR="0010248D">
        <w:rPr>
          <w:rFonts w:ascii="Arial" w:hAnsi="Arial" w:cs="Arial"/>
          <w:sz w:val="22"/>
          <w:szCs w:val="22"/>
        </w:rPr>
        <w:t xml:space="preserve"> z </w:t>
      </w:r>
      <w:r w:rsidR="0010248D" w:rsidRPr="0010248D">
        <w:rPr>
          <w:rFonts w:ascii="Arial" w:hAnsi="Arial" w:cs="Arial"/>
          <w:sz w:val="22"/>
          <w:szCs w:val="22"/>
        </w:rPr>
        <w:t>Oddělení koncepcí, strategií a programů podpory výzkumu, vývoje a inovací</w:t>
      </w:r>
      <w:r w:rsidR="0010248D">
        <w:rPr>
          <w:rFonts w:ascii="Arial" w:hAnsi="Arial" w:cs="Arial"/>
          <w:sz w:val="22"/>
          <w:szCs w:val="22"/>
        </w:rPr>
        <w:t>.</w:t>
      </w:r>
    </w:p>
    <w:p w14:paraId="5F3FE699" w14:textId="5C2816D9" w:rsidR="008D3D31" w:rsidRPr="0030012B" w:rsidRDefault="0030012B" w:rsidP="00493CD2">
      <w:pPr>
        <w:tabs>
          <w:tab w:val="left" w:pos="2880"/>
        </w:tabs>
        <w:rPr>
          <w:rFonts w:ascii="Arial" w:eastAsiaTheme="minorHAnsi" w:hAnsi="Arial" w:cs="Arial"/>
          <w:b/>
          <w:bCs/>
          <w:sz w:val="22"/>
          <w:szCs w:val="22"/>
          <w:lang w:eastAsia="en-US"/>
        </w:rPr>
      </w:pPr>
      <w:r w:rsidRPr="0030012B">
        <w:rPr>
          <w:rFonts w:ascii="Arial" w:eastAsiaTheme="minorHAnsi" w:hAnsi="Arial" w:cs="Arial"/>
          <w:b/>
          <w:bCs/>
          <w:sz w:val="22"/>
          <w:szCs w:val="22"/>
          <w:lang w:eastAsia="en-US"/>
        </w:rPr>
        <w:t>Přílohy</w:t>
      </w:r>
    </w:p>
    <w:p w14:paraId="34C87AC3" w14:textId="1EE130D1" w:rsidR="0030012B" w:rsidRPr="0010248D" w:rsidRDefault="0030012B" w:rsidP="0010248D">
      <w:pPr>
        <w:framePr w:hSpace="141" w:wrap="around" w:vAnchor="page" w:hAnchor="margin" w:y="2963"/>
        <w:autoSpaceDE w:val="0"/>
        <w:autoSpaceDN w:val="0"/>
        <w:adjustRightInd w:val="0"/>
        <w:spacing w:before="120" w:after="120"/>
        <w:ind w:right="-22"/>
        <w:jc w:val="both"/>
      </w:pPr>
    </w:p>
    <w:p w14:paraId="259848B9" w14:textId="0D94A976" w:rsidR="0010248D" w:rsidRPr="0010248D" w:rsidRDefault="0010248D" w:rsidP="0010248D">
      <w:pPr>
        <w:pStyle w:val="Odstavecseseznamem"/>
        <w:numPr>
          <w:ilvl w:val="0"/>
          <w:numId w:val="26"/>
        </w:numPr>
        <w:tabs>
          <w:tab w:val="left" w:pos="2880"/>
        </w:tabs>
        <w:ind w:left="426"/>
        <w:rPr>
          <w:rFonts w:ascii="Arial" w:eastAsiaTheme="minorHAnsi" w:hAnsi="Arial" w:cs="Arial"/>
          <w:sz w:val="22"/>
          <w:szCs w:val="22"/>
          <w:lang w:eastAsia="en-US"/>
        </w:rPr>
      </w:pPr>
      <w:r w:rsidRPr="0010248D">
        <w:rPr>
          <w:rFonts w:ascii="Arial" w:hAnsi="Arial" w:cs="Arial"/>
          <w:sz w:val="22"/>
          <w:szCs w:val="22"/>
        </w:rPr>
        <w:t>Materiál „Evaluační zpráva CZE</w:t>
      </w:r>
      <w:r w:rsidR="00F0729D">
        <w:rPr>
          <w:rFonts w:ascii="Arial" w:hAnsi="Arial" w:cs="Arial"/>
          <w:sz w:val="22"/>
          <w:szCs w:val="22"/>
        </w:rPr>
        <w:t>RA</w:t>
      </w:r>
      <w:r w:rsidRPr="0010248D">
        <w:rPr>
          <w:rFonts w:ascii="Arial" w:hAnsi="Arial" w:cs="Arial"/>
          <w:sz w:val="22"/>
          <w:szCs w:val="22"/>
        </w:rPr>
        <w:t>“ v podobě pro jednání vlády</w:t>
      </w:r>
    </w:p>
    <w:p w14:paraId="67BC66B6" w14:textId="3A2F44B1" w:rsidR="0010248D" w:rsidRPr="0010248D" w:rsidRDefault="0010248D" w:rsidP="0010248D">
      <w:pPr>
        <w:pStyle w:val="Odstavecseseznamem"/>
        <w:numPr>
          <w:ilvl w:val="0"/>
          <w:numId w:val="26"/>
        </w:numPr>
        <w:tabs>
          <w:tab w:val="left" w:pos="2880"/>
        </w:tabs>
        <w:ind w:left="426"/>
        <w:rPr>
          <w:rFonts w:ascii="Arial" w:eastAsiaTheme="minorHAnsi" w:hAnsi="Arial" w:cs="Arial"/>
          <w:sz w:val="22"/>
          <w:szCs w:val="22"/>
          <w:lang w:eastAsia="en-US"/>
        </w:rPr>
      </w:pPr>
      <w:r w:rsidRPr="0010248D">
        <w:rPr>
          <w:rFonts w:ascii="Arial" w:hAnsi="Arial" w:cs="Arial"/>
          <w:bCs/>
          <w:sz w:val="22"/>
          <w:szCs w:val="22"/>
        </w:rPr>
        <w:t>Průvodní dopis MŠMT, čj. MŠMT-60</w:t>
      </w:r>
      <w:r w:rsidR="00F0729D">
        <w:rPr>
          <w:rFonts w:ascii="Arial" w:hAnsi="Arial" w:cs="Arial"/>
          <w:bCs/>
          <w:sz w:val="22"/>
          <w:szCs w:val="22"/>
        </w:rPr>
        <w:t>44</w:t>
      </w:r>
      <w:r w:rsidRPr="0010248D">
        <w:rPr>
          <w:rFonts w:ascii="Arial" w:hAnsi="Arial" w:cs="Arial"/>
          <w:bCs/>
          <w:sz w:val="22"/>
          <w:szCs w:val="22"/>
        </w:rPr>
        <w:t>/2025-4</w:t>
      </w:r>
    </w:p>
    <w:p w14:paraId="5957CF72" w14:textId="77777777" w:rsidR="0010248D" w:rsidRPr="0010248D" w:rsidRDefault="0010248D" w:rsidP="0010248D">
      <w:pPr>
        <w:pStyle w:val="Odstavecseseznamem"/>
        <w:tabs>
          <w:tab w:val="left" w:pos="2880"/>
        </w:tabs>
        <w:ind w:left="426"/>
        <w:rPr>
          <w:rFonts w:ascii="Arial" w:eastAsiaTheme="minorHAnsi" w:hAnsi="Arial" w:cs="Arial"/>
          <w:sz w:val="22"/>
          <w:szCs w:val="22"/>
          <w:lang w:eastAsia="en-US"/>
        </w:rPr>
      </w:pPr>
    </w:p>
    <w:sectPr w:rsidR="0010248D" w:rsidRPr="0010248D"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C31EB" w14:textId="77777777" w:rsidR="00D12224" w:rsidRDefault="00D12224" w:rsidP="008F77F6">
      <w:r>
        <w:separator/>
      </w:r>
    </w:p>
  </w:endnote>
  <w:endnote w:type="continuationSeparator" w:id="0">
    <w:p w14:paraId="5115B7B2" w14:textId="77777777" w:rsidR="00D12224" w:rsidRDefault="00D1222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322CD" w14:textId="77777777" w:rsidR="0010248D" w:rsidRDefault="001024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7D590" w14:textId="77777777" w:rsidR="00E254A5" w:rsidRDefault="00B120CD" w:rsidP="00E254A5">
    <w:pPr>
      <w:pStyle w:val="Zpat"/>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Content/>
    </w:sdt>
  </w:p>
  <w:sdt>
    <w:sdtPr>
      <w:rPr>
        <w:rFonts w:ascii="Arial" w:hAnsi="Arial" w:cs="Arial"/>
        <w:sz w:val="18"/>
        <w:szCs w:val="18"/>
      </w:rPr>
      <w:id w:val="1122730018"/>
      <w:docPartObj>
        <w:docPartGallery w:val="Page Numbers (Bottom of Page)"/>
        <w:docPartUnique/>
      </w:docPartObj>
    </w:sdtPr>
    <w:sdtContent>
      <w:sdt>
        <w:sdtPr>
          <w:rPr>
            <w:rFonts w:ascii="Arial" w:hAnsi="Arial" w:cs="Arial"/>
          </w:rPr>
          <w:id w:val="3491130"/>
          <w:docPartObj>
            <w:docPartGallery w:val="Page Numbers (Top of Page)"/>
            <w:docPartUnique/>
          </w:docPartObj>
        </w:sdtPr>
        <w:sdtContent>
          <w:p w14:paraId="4FA8BB85" w14:textId="77777777" w:rsidR="00B120CD" w:rsidRPr="00E254A5" w:rsidRDefault="00E254A5" w:rsidP="00E254A5">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57216" behindDoc="0" locked="0" layoutInCell="1" allowOverlap="1" wp14:anchorId="700D24EB" wp14:editId="434E2DC1">
                      <wp:simplePos x="0" y="0"/>
                      <wp:positionH relativeFrom="margin">
                        <wp:posOffset>0</wp:posOffset>
                      </wp:positionH>
                      <wp:positionV relativeFrom="paragraph">
                        <wp:posOffset>-87366</wp:posOffset>
                      </wp:positionV>
                      <wp:extent cx="6120130" cy="0"/>
                      <wp:effectExtent l="0" t="0" r="0" b="0"/>
                      <wp:wrapNone/>
                      <wp:docPr id="1150259382"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1FCB25" id="Přímá spojnice 2"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95523763"/>
                <w:docPartObj>
                  <w:docPartGallery w:val="Page Numbers (Top of Page)"/>
                  <w:docPartUnique/>
                </w:docPartObj>
              </w:sdtPr>
              <w:sdtContent>
                <w:r w:rsidRPr="00B13622">
                  <w:rPr>
                    <w:rFonts w:ascii="Arial" w:hAnsi="Arial" w:cs="Arial"/>
                    <w:noProof/>
                    <w:color w:val="002060"/>
                    <w:sz w:val="16"/>
                    <w:szCs w:val="16"/>
                  </w:rPr>
                  <mc:AlternateContent>
                    <mc:Choice Requires="wps">
                      <w:drawing>
                        <wp:anchor distT="0" distB="0" distL="114300" distR="114300" simplePos="0" relativeHeight="251661312" behindDoc="0" locked="0" layoutInCell="1" allowOverlap="1" wp14:anchorId="293E0B9F" wp14:editId="4C50A9AE">
                          <wp:simplePos x="0" y="0"/>
                          <wp:positionH relativeFrom="margin">
                            <wp:posOffset>0</wp:posOffset>
                          </wp:positionH>
                          <wp:positionV relativeFrom="paragraph">
                            <wp:posOffset>-87366</wp:posOffset>
                          </wp:positionV>
                          <wp:extent cx="6120130" cy="0"/>
                          <wp:effectExtent l="0" t="0" r="0" b="0"/>
                          <wp:wrapNone/>
                          <wp:docPr id="916824440"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456856" id="Přímá spojnice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sz w:val="16"/>
                    <w:szCs w:val="16"/>
                  </w:rPr>
                  <w:t>Název materiálu</w:t>
                </w:r>
                <w:r w:rsidRPr="00B13622">
                  <w:rPr>
                    <w:rFonts w:ascii="Arial" w:hAnsi="Arial" w:cs="Arial"/>
                  </w:rPr>
                  <w:tab/>
                </w:r>
                <w:r w:rsidRPr="00B13622">
                  <w:rPr>
                    <w:rFonts w:ascii="Arial" w:hAnsi="Arial" w:cs="Arial"/>
                    <w:sz w:val="16"/>
                    <w:szCs w:val="16"/>
                  </w:rPr>
                  <w:t>Zpracoval/i:</w:t>
                </w:r>
                <w:r w:rsidRPr="00B13622">
                  <w:rPr>
                    <w:rFonts w:ascii="Arial" w:hAnsi="Arial" w:cs="Arial"/>
                  </w:rPr>
                  <w:t xml:space="preserve"> </w:t>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Pr>
                    <w:rFonts w:ascii="Arial" w:hAnsi="Arial" w:cs="Arial"/>
                    <w:sz w:val="16"/>
                    <w:szCs w:val="16"/>
                  </w:rPr>
                  <w:t>1</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Content>
      <w:sdt>
        <w:sdtPr>
          <w:rPr>
            <w:rFonts w:ascii="Arial" w:hAnsi="Arial" w:cs="Arial"/>
          </w:rPr>
          <w:id w:val="-1705238520"/>
          <w:docPartObj>
            <w:docPartGallery w:val="Page Numbers (Top of Page)"/>
            <w:docPartUnique/>
          </w:docPartObj>
        </w:sdtPr>
        <w:sdtContent>
          <w:p w14:paraId="6C41B402" w14:textId="68D03DBF" w:rsidR="00B13622" w:rsidRPr="00E254A5" w:rsidRDefault="008666CD" w:rsidP="008666CD">
            <w:pPr>
              <w:pStyle w:val="Zpat"/>
              <w:jc w:val="both"/>
              <w:rPr>
                <w:rFonts w:ascii="Arial" w:hAnsi="Arial" w:cs="Arial"/>
              </w:rPr>
            </w:pPr>
            <w:r w:rsidRPr="008666CD">
              <w:rPr>
                <w:rFonts w:ascii="Arial" w:hAnsi="Arial" w:cs="Arial"/>
                <w:bCs/>
                <w:sz w:val="16"/>
                <w:szCs w:val="16"/>
              </w:rPr>
              <w:t>První evaluační zpráva projektu sdílených činností „Prohloubení integrace výzkumného a inovačního ekosystému ČR do</w:t>
            </w:r>
            <w:r>
              <w:rPr>
                <w:rFonts w:ascii="Arial" w:hAnsi="Arial" w:cs="Arial"/>
                <w:bCs/>
                <w:sz w:val="18"/>
                <w:szCs w:val="18"/>
              </w:rPr>
              <w:t> </w:t>
            </w:r>
            <w:r w:rsidRPr="008666CD">
              <w:rPr>
                <w:rFonts w:ascii="Arial" w:hAnsi="Arial" w:cs="Arial"/>
                <w:bCs/>
                <w:sz w:val="16"/>
                <w:szCs w:val="16"/>
              </w:rPr>
              <w:t>Evropského výzkumného prostoru a podpora intenzivní mezinárodní spolupráce výzkumných organizací a podniků ČR ve</w:t>
            </w:r>
            <w:r>
              <w:rPr>
                <w:rFonts w:ascii="Arial" w:hAnsi="Arial" w:cs="Arial"/>
                <w:bCs/>
                <w:sz w:val="16"/>
                <w:szCs w:val="16"/>
              </w:rPr>
              <w:t> </w:t>
            </w:r>
            <w:r w:rsidRPr="008666CD">
              <w:rPr>
                <w:rFonts w:ascii="Arial" w:hAnsi="Arial" w:cs="Arial"/>
                <w:bCs/>
                <w:sz w:val="16"/>
                <w:szCs w:val="16"/>
              </w:rPr>
              <w:t xml:space="preserve">výzkumu, vývoji a inovacích (CZERA)“ </w:t>
            </w:r>
            <w:r w:rsidRPr="008666CD">
              <w:rPr>
                <w:rStyle w:val="Siln"/>
                <w:rFonts w:ascii="Arial" w:hAnsi="Arial" w:cs="Arial"/>
                <w:b w:val="0"/>
                <w:sz w:val="16"/>
                <w:szCs w:val="16"/>
              </w:rPr>
              <w:t>za období 2021–2024</w:t>
            </w:r>
            <w:r w:rsidR="00B13622" w:rsidRPr="0010248D">
              <w:rPr>
                <w:rFonts w:ascii="Arial" w:hAnsi="Arial" w:cs="Arial"/>
                <w:noProof/>
                <w:color w:val="002060"/>
                <w:sz w:val="16"/>
                <w:szCs w:val="16"/>
              </w:rPr>
              <mc:AlternateContent>
                <mc:Choice Requires="wps">
                  <w:drawing>
                    <wp:anchor distT="0" distB="0" distL="114300" distR="114300" simplePos="0" relativeHeight="251653120" behindDoc="0" locked="0" layoutInCell="1" allowOverlap="1" wp14:anchorId="25E4A63A" wp14:editId="4FC9BD43">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950B4F" id="Přímá spojnice 2" o:spid="_x0000_s1026" style="position:absolute;flip:y;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sdt>
              <w:sdtPr>
                <w:rPr>
                  <w:rFonts w:ascii="Arial" w:hAnsi="Arial" w:cs="Arial"/>
                </w:rPr>
                <w:id w:val="-522399202"/>
                <w:docPartObj>
                  <w:docPartGallery w:val="Page Numbers (Top of Page)"/>
                  <w:docPartUnique/>
                </w:docPartObj>
              </w:sdtPr>
              <w:sdtContent>
                <w:r w:rsidR="00B13622" w:rsidRPr="00B13622">
                  <w:rPr>
                    <w:rFonts w:ascii="Arial" w:hAnsi="Arial" w:cs="Arial"/>
                    <w:noProof/>
                    <w:color w:val="002060"/>
                    <w:sz w:val="16"/>
                    <w:szCs w:val="16"/>
                  </w:rPr>
                  <mc:AlternateContent>
                    <mc:Choice Requires="wps">
                      <w:drawing>
                        <wp:anchor distT="0" distB="0" distL="114300" distR="114300" simplePos="0" relativeHeight="251654144" behindDoc="0" locked="0" layoutInCell="1" allowOverlap="1" wp14:anchorId="096E840B" wp14:editId="6FCC3F28">
                          <wp:simplePos x="0" y="0"/>
                          <wp:positionH relativeFrom="margin">
                            <wp:posOffset>0</wp:posOffset>
                          </wp:positionH>
                          <wp:positionV relativeFrom="paragraph">
                            <wp:posOffset>-87366</wp:posOffset>
                          </wp:positionV>
                          <wp:extent cx="6120130" cy="0"/>
                          <wp:effectExtent l="0" t="0" r="0" b="0"/>
                          <wp:wrapNone/>
                          <wp:docPr id="1407251093"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407316" id="Přímá spojnice 2" o:spid="_x0000_s1026" style="position:absolute;flip:y;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B13622" w:rsidRPr="00B13622">
                  <w:rPr>
                    <w:rFonts w:ascii="Arial" w:hAnsi="Arial" w:cs="Arial"/>
                  </w:rPr>
                  <w:tab/>
                </w:r>
                <w:r w:rsidR="00B13622" w:rsidRPr="00B13622">
                  <w:rPr>
                    <w:rFonts w:ascii="Arial" w:hAnsi="Arial" w:cs="Arial"/>
                  </w:rPr>
                  <w:tab/>
                </w:r>
                <w:r w:rsidR="00B13622" w:rsidRPr="00B13622">
                  <w:rPr>
                    <w:rFonts w:ascii="Arial" w:hAnsi="Arial" w:cs="Arial"/>
                    <w:sz w:val="16"/>
                    <w:szCs w:val="16"/>
                  </w:rPr>
                  <w:t xml:space="preserve">Stránka </w:t>
                </w:r>
                <w:r w:rsidR="00B13622" w:rsidRPr="00B13622">
                  <w:rPr>
                    <w:rFonts w:ascii="Arial" w:hAnsi="Arial" w:cs="Arial"/>
                    <w:sz w:val="16"/>
                    <w:szCs w:val="16"/>
                  </w:rPr>
                  <w:fldChar w:fldCharType="begin"/>
                </w:r>
                <w:r w:rsidR="00B13622" w:rsidRPr="00B13622">
                  <w:rPr>
                    <w:rFonts w:ascii="Arial" w:hAnsi="Arial" w:cs="Arial"/>
                    <w:sz w:val="16"/>
                    <w:szCs w:val="16"/>
                  </w:rPr>
                  <w:instrText>PAGE</w:instrText>
                </w:r>
                <w:r w:rsidR="00B13622" w:rsidRPr="00B13622">
                  <w:rPr>
                    <w:rFonts w:ascii="Arial" w:hAnsi="Arial" w:cs="Arial"/>
                    <w:sz w:val="16"/>
                    <w:szCs w:val="16"/>
                  </w:rPr>
                  <w:fldChar w:fldCharType="separate"/>
                </w:r>
                <w:r w:rsidR="00B13622" w:rsidRPr="00B13622">
                  <w:rPr>
                    <w:rFonts w:ascii="Arial" w:hAnsi="Arial" w:cs="Arial"/>
                    <w:sz w:val="16"/>
                    <w:szCs w:val="16"/>
                  </w:rPr>
                  <w:t>2</w:t>
                </w:r>
                <w:r w:rsidR="00B13622" w:rsidRPr="00B13622">
                  <w:rPr>
                    <w:rFonts w:ascii="Arial" w:hAnsi="Arial" w:cs="Arial"/>
                    <w:sz w:val="16"/>
                    <w:szCs w:val="16"/>
                  </w:rPr>
                  <w:fldChar w:fldCharType="end"/>
                </w:r>
                <w:r w:rsidR="00B13622" w:rsidRPr="00B13622">
                  <w:rPr>
                    <w:rFonts w:ascii="Arial" w:hAnsi="Arial" w:cs="Arial"/>
                    <w:sz w:val="16"/>
                    <w:szCs w:val="16"/>
                  </w:rPr>
                  <w:t xml:space="preserve"> (celkem </w:t>
                </w:r>
                <w:r w:rsidR="00B13622" w:rsidRPr="00B13622">
                  <w:rPr>
                    <w:rFonts w:ascii="Arial" w:hAnsi="Arial" w:cs="Arial"/>
                    <w:sz w:val="16"/>
                    <w:szCs w:val="16"/>
                  </w:rPr>
                  <w:fldChar w:fldCharType="begin"/>
                </w:r>
                <w:r w:rsidR="00B13622" w:rsidRPr="00B13622">
                  <w:rPr>
                    <w:rFonts w:ascii="Arial" w:hAnsi="Arial" w:cs="Arial"/>
                    <w:sz w:val="16"/>
                    <w:szCs w:val="16"/>
                  </w:rPr>
                  <w:instrText>NUMPAGES</w:instrText>
                </w:r>
                <w:r w:rsidR="00B13622" w:rsidRPr="00B13622">
                  <w:rPr>
                    <w:rFonts w:ascii="Arial" w:hAnsi="Arial" w:cs="Arial"/>
                    <w:sz w:val="16"/>
                    <w:szCs w:val="16"/>
                  </w:rPr>
                  <w:fldChar w:fldCharType="separate"/>
                </w:r>
                <w:r w:rsidR="00B13622" w:rsidRPr="00B13622">
                  <w:rPr>
                    <w:rFonts w:ascii="Arial" w:hAnsi="Arial" w:cs="Arial"/>
                    <w:sz w:val="16"/>
                    <w:szCs w:val="16"/>
                  </w:rPr>
                  <w:t>5</w:t>
                </w:r>
                <w:r w:rsidR="00B13622" w:rsidRPr="00B13622">
                  <w:rPr>
                    <w:rFonts w:ascii="Arial" w:hAnsi="Arial" w:cs="Arial"/>
                    <w:sz w:val="16"/>
                    <w:szCs w:val="16"/>
                  </w:rPr>
                  <w:fldChar w:fldCharType="end"/>
                </w:r>
                <w:r w:rsidR="00B13622" w:rsidRPr="00B13622">
                  <w:rPr>
                    <w:rFonts w:ascii="Arial" w:hAnsi="Arial" w:cs="Arial"/>
                    <w:sz w:val="16"/>
                    <w:szCs w:val="16"/>
                  </w:rPr>
                  <w:t>)</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20BD0" w14:textId="77777777" w:rsidR="00D12224" w:rsidRDefault="00D12224" w:rsidP="008F77F6">
      <w:r>
        <w:separator/>
      </w:r>
    </w:p>
  </w:footnote>
  <w:footnote w:type="continuationSeparator" w:id="0">
    <w:p w14:paraId="4E90E1C4" w14:textId="77777777" w:rsidR="00D12224" w:rsidRDefault="00D12224"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B7F5A" w14:textId="77777777" w:rsidR="0010248D" w:rsidRDefault="001024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3D00D" w14:textId="77777777" w:rsidR="0010248D" w:rsidRDefault="001024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79E23" w14:textId="77777777" w:rsidR="00B13622" w:rsidRDefault="00B13622">
    <w:pPr>
      <w:pStyle w:val="Zhlav"/>
    </w:pPr>
    <w:r>
      <w:rPr>
        <w:noProof/>
      </w:rPr>
      <mc:AlternateContent>
        <mc:Choice Requires="wps">
          <w:drawing>
            <wp:anchor distT="0" distB="0" distL="0" distR="0" simplePos="0" relativeHeight="251614720" behindDoc="1" locked="0" layoutInCell="1" allowOverlap="1" wp14:anchorId="4D8A46A9" wp14:editId="4CC5A20D">
              <wp:simplePos x="0" y="0"/>
              <wp:positionH relativeFrom="margin">
                <wp:posOffset>4961729</wp:posOffset>
              </wp:positionH>
              <wp:positionV relativeFrom="topMargin">
                <wp:posOffset>695505</wp:posOffset>
              </wp:positionV>
              <wp:extent cx="1104596"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596" cy="333375"/>
                      </a:xfrm>
                      <a:prstGeom prst="rect">
                        <a:avLst/>
                      </a:prstGeom>
                    </wps:spPr>
                    <wps:txbx>
                      <w:txbxContent>
                        <w:p w14:paraId="099FE555" w14:textId="0A1495B8"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681BC4">
                            <w:rPr>
                              <w:rFonts w:ascii="Arial" w:hAnsi="Arial" w:cs="Arial"/>
                              <w:b/>
                              <w:color w:val="161A48"/>
                              <w:sz w:val="28"/>
                              <w:szCs w:val="28"/>
                            </w:rPr>
                            <w:t>2</w:t>
                          </w:r>
                          <w:r w:rsidRPr="00B13622">
                            <w:rPr>
                              <w:rFonts w:ascii="Arial" w:hAnsi="Arial" w:cs="Arial"/>
                              <w:b/>
                              <w:color w:val="161A48"/>
                              <w:sz w:val="28"/>
                              <w:szCs w:val="28"/>
                            </w:rPr>
                            <w:t>/</w:t>
                          </w:r>
                          <w:r>
                            <w:rPr>
                              <w:rFonts w:ascii="Arial" w:hAnsi="Arial" w:cs="Arial"/>
                              <w:b/>
                              <w:color w:val="161A48"/>
                              <w:sz w:val="28"/>
                              <w:szCs w:val="28"/>
                            </w:rPr>
                            <w:t>C</w:t>
                          </w:r>
                          <w:r w:rsidR="00681BC4">
                            <w:rPr>
                              <w:rFonts w:ascii="Arial" w:hAnsi="Arial" w:cs="Arial"/>
                              <w:b/>
                              <w:color w:val="161A48"/>
                              <w:sz w:val="28"/>
                              <w:szCs w:val="28"/>
                            </w:rPr>
                            <w:t>4b</w:t>
                          </w:r>
                        </w:p>
                      </w:txbxContent>
                    </wps:txbx>
                    <wps:bodyPr wrap="square" lIns="0" tIns="0" rIns="0" bIns="0" rtlCol="0">
                      <a:noAutofit/>
                    </wps:bodyPr>
                  </wps:wsp>
                </a:graphicData>
              </a:graphic>
              <wp14:sizeRelH relativeFrom="margin">
                <wp14:pctWidth>0</wp14:pctWidth>
              </wp14:sizeRelH>
            </wp:anchor>
          </w:drawing>
        </mc:Choice>
        <mc:Fallback>
          <w:pict>
            <v:shapetype w14:anchorId="4D8A46A9" id="_x0000_t202" coordsize="21600,21600" o:spt="202" path="m,l,21600r21600,l21600,xe">
              <v:stroke joinstyle="miter"/>
              <v:path gradientshapeok="t" o:connecttype="rect"/>
            </v:shapetype>
            <v:shape id="Textbox 46" o:spid="_x0000_s1026" type="#_x0000_t202" style="position:absolute;margin-left:390.7pt;margin-top:54.75pt;width:87pt;height:26.25pt;z-index:-251701760;visibility:visible;mso-wrap-style:square;mso-width-percent:0;mso-wrap-distance-left:0;mso-wrap-distance-top:0;mso-wrap-distance-right:0;mso-wrap-distance-bottom:0;mso-position-horizontal:absolute;mso-position-horizontal-relative:margin;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" filled="f" stroked="f">
              <v:textbox inset="0,0,0,0">
                <w:txbxContent>
                  <w:p w14:paraId="099FE555" w14:textId="0A1495B8"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681BC4">
                      <w:rPr>
                        <w:rFonts w:ascii="Arial" w:hAnsi="Arial" w:cs="Arial"/>
                        <w:b/>
                        <w:color w:val="161A48"/>
                        <w:sz w:val="28"/>
                        <w:szCs w:val="28"/>
                      </w:rPr>
                      <w:t>2</w:t>
                    </w:r>
                    <w:r w:rsidRPr="00B13622">
                      <w:rPr>
                        <w:rFonts w:ascii="Arial" w:hAnsi="Arial" w:cs="Arial"/>
                        <w:b/>
                        <w:color w:val="161A48"/>
                        <w:sz w:val="28"/>
                        <w:szCs w:val="28"/>
                      </w:rPr>
                      <w:t>/</w:t>
                    </w:r>
                    <w:r>
                      <w:rPr>
                        <w:rFonts w:ascii="Arial" w:hAnsi="Arial" w:cs="Arial"/>
                        <w:b/>
                        <w:color w:val="161A48"/>
                        <w:sz w:val="28"/>
                        <w:szCs w:val="28"/>
                      </w:rPr>
                      <w:t>C</w:t>
                    </w:r>
                    <w:r w:rsidR="00681BC4">
                      <w:rPr>
                        <w:rFonts w:ascii="Arial" w:hAnsi="Arial" w:cs="Arial"/>
                        <w:b/>
                        <w:color w:val="161A48"/>
                        <w:sz w:val="28"/>
                        <w:szCs w:val="28"/>
                      </w:rPr>
                      <w:t>4b</w:t>
                    </w:r>
                  </w:p>
                </w:txbxContent>
              </v:textbox>
              <w10:wrap anchorx="margin" anchory="margin"/>
            </v:shape>
          </w:pict>
        </mc:Fallback>
      </mc:AlternateContent>
    </w:r>
    <w:r>
      <w:rPr>
        <w:noProof/>
      </w:rPr>
      <w:drawing>
        <wp:anchor distT="152400" distB="152400" distL="152400" distR="152400" simplePos="0" relativeHeight="251613696" behindDoc="1" locked="1" layoutInCell="1" allowOverlap="0" wp14:anchorId="54E6B2B3" wp14:editId="31625F09">
          <wp:simplePos x="0" y="0"/>
          <wp:positionH relativeFrom="margin">
            <wp:posOffset>-48260</wp:posOffset>
          </wp:positionH>
          <wp:positionV relativeFrom="topMargin">
            <wp:posOffset>587375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CD7CA8"/>
    <w:multiLevelType w:val="hybridMultilevel"/>
    <w:tmpl w:val="F8F20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6E60381C"/>
    <w:multiLevelType w:val="hybridMultilevel"/>
    <w:tmpl w:val="D1EA9C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6"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77562523">
    <w:abstractNumId w:val="3"/>
  </w:num>
  <w:num w:numId="2" w16cid:durableId="719521593">
    <w:abstractNumId w:val="14"/>
  </w:num>
  <w:num w:numId="3" w16cid:durableId="1098527943">
    <w:abstractNumId w:val="7"/>
  </w:num>
  <w:num w:numId="4" w16cid:durableId="90512263">
    <w:abstractNumId w:val="8"/>
  </w:num>
  <w:num w:numId="5" w16cid:durableId="1430348738">
    <w:abstractNumId w:val="15"/>
  </w:num>
  <w:num w:numId="6" w16cid:durableId="984699852">
    <w:abstractNumId w:val="0"/>
  </w:num>
  <w:num w:numId="7" w16cid:durableId="553009888">
    <w:abstractNumId w:val="6"/>
  </w:num>
  <w:num w:numId="8" w16cid:durableId="572007924">
    <w:abstractNumId w:val="18"/>
  </w:num>
  <w:num w:numId="9" w16cid:durableId="1881090194">
    <w:abstractNumId w:val="9"/>
  </w:num>
  <w:num w:numId="10" w16cid:durableId="1309558488">
    <w:abstractNumId w:val="19"/>
  </w:num>
  <w:num w:numId="11" w16cid:durableId="90128545">
    <w:abstractNumId w:val="17"/>
  </w:num>
  <w:num w:numId="12" w16cid:durableId="778766677">
    <w:abstractNumId w:val="21"/>
  </w:num>
  <w:num w:numId="13" w16cid:durableId="167139912">
    <w:abstractNumId w:val="16"/>
  </w:num>
  <w:num w:numId="14" w16cid:durableId="305205252">
    <w:abstractNumId w:val="25"/>
  </w:num>
  <w:num w:numId="15" w16cid:durableId="864824891">
    <w:abstractNumId w:val="12"/>
  </w:num>
  <w:num w:numId="16" w16cid:durableId="437145923">
    <w:abstractNumId w:val="13"/>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0"/>
  </w:num>
  <w:num w:numId="18" w16cid:durableId="1607349755">
    <w:abstractNumId w:val="26"/>
  </w:num>
  <w:num w:numId="19" w16cid:durableId="1598558212">
    <w:abstractNumId w:val="2"/>
  </w:num>
  <w:num w:numId="20" w16cid:durableId="1255482614">
    <w:abstractNumId w:val="5"/>
  </w:num>
  <w:num w:numId="21" w16cid:durableId="1423188385">
    <w:abstractNumId w:val="23"/>
  </w:num>
  <w:num w:numId="22" w16cid:durableId="99686336">
    <w:abstractNumId w:val="22"/>
  </w:num>
  <w:num w:numId="23" w16cid:durableId="1493335194">
    <w:abstractNumId w:val="4"/>
  </w:num>
  <w:num w:numId="24" w16cid:durableId="786581191">
    <w:abstractNumId w:val="11"/>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 w:numId="26" w16cid:durableId="1888029181">
    <w:abstractNumId w:val="24"/>
  </w:num>
  <w:num w:numId="27" w16cid:durableId="16055311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FE"/>
    <w:rsid w:val="0000012F"/>
    <w:rsid w:val="000120D6"/>
    <w:rsid w:val="00016B78"/>
    <w:rsid w:val="0002313D"/>
    <w:rsid w:val="00033327"/>
    <w:rsid w:val="00035EFD"/>
    <w:rsid w:val="00041AC0"/>
    <w:rsid w:val="00043BB4"/>
    <w:rsid w:val="000472F8"/>
    <w:rsid w:val="000549A1"/>
    <w:rsid w:val="000562B1"/>
    <w:rsid w:val="000574CE"/>
    <w:rsid w:val="00060D62"/>
    <w:rsid w:val="00065C9D"/>
    <w:rsid w:val="000668D4"/>
    <w:rsid w:val="000722CE"/>
    <w:rsid w:val="00076499"/>
    <w:rsid w:val="00077AD9"/>
    <w:rsid w:val="00081162"/>
    <w:rsid w:val="0008125C"/>
    <w:rsid w:val="00083370"/>
    <w:rsid w:val="00083D98"/>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7427"/>
    <w:rsid w:val="0010248D"/>
    <w:rsid w:val="001029D8"/>
    <w:rsid w:val="0010695C"/>
    <w:rsid w:val="001125CD"/>
    <w:rsid w:val="001129EF"/>
    <w:rsid w:val="00113A3F"/>
    <w:rsid w:val="00113FB3"/>
    <w:rsid w:val="001151F0"/>
    <w:rsid w:val="001153DA"/>
    <w:rsid w:val="001160B1"/>
    <w:rsid w:val="001268F8"/>
    <w:rsid w:val="001272E3"/>
    <w:rsid w:val="001342FD"/>
    <w:rsid w:val="00144C07"/>
    <w:rsid w:val="00152006"/>
    <w:rsid w:val="00156192"/>
    <w:rsid w:val="00157380"/>
    <w:rsid w:val="00162A96"/>
    <w:rsid w:val="00163448"/>
    <w:rsid w:val="00176933"/>
    <w:rsid w:val="00183C16"/>
    <w:rsid w:val="00193DBE"/>
    <w:rsid w:val="001942F6"/>
    <w:rsid w:val="00197C0D"/>
    <w:rsid w:val="001A24A6"/>
    <w:rsid w:val="001A6585"/>
    <w:rsid w:val="001B0FC1"/>
    <w:rsid w:val="001B2327"/>
    <w:rsid w:val="001B2DBC"/>
    <w:rsid w:val="001B32DA"/>
    <w:rsid w:val="001B78C5"/>
    <w:rsid w:val="001C04DF"/>
    <w:rsid w:val="001C3564"/>
    <w:rsid w:val="001C65C0"/>
    <w:rsid w:val="001D03E6"/>
    <w:rsid w:val="001D0791"/>
    <w:rsid w:val="001D1E7E"/>
    <w:rsid w:val="001D2DF6"/>
    <w:rsid w:val="001D34CE"/>
    <w:rsid w:val="001D3920"/>
    <w:rsid w:val="001D43F8"/>
    <w:rsid w:val="001E38CB"/>
    <w:rsid w:val="001F190C"/>
    <w:rsid w:val="001F25B2"/>
    <w:rsid w:val="001F38CB"/>
    <w:rsid w:val="00200490"/>
    <w:rsid w:val="00201B1F"/>
    <w:rsid w:val="00215834"/>
    <w:rsid w:val="00215F97"/>
    <w:rsid w:val="00225149"/>
    <w:rsid w:val="0022699E"/>
    <w:rsid w:val="002276E6"/>
    <w:rsid w:val="00227993"/>
    <w:rsid w:val="00230132"/>
    <w:rsid w:val="00237006"/>
    <w:rsid w:val="00237892"/>
    <w:rsid w:val="00244CE6"/>
    <w:rsid w:val="002457E3"/>
    <w:rsid w:val="00245F90"/>
    <w:rsid w:val="00253052"/>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012B"/>
    <w:rsid w:val="0030455B"/>
    <w:rsid w:val="00307014"/>
    <w:rsid w:val="003070F6"/>
    <w:rsid w:val="00310690"/>
    <w:rsid w:val="00312168"/>
    <w:rsid w:val="00315BD6"/>
    <w:rsid w:val="003403ED"/>
    <w:rsid w:val="003538D0"/>
    <w:rsid w:val="00356C81"/>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1123"/>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3CD2"/>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2DAF"/>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5F6D"/>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57FCE"/>
    <w:rsid w:val="0066357A"/>
    <w:rsid w:val="00681BC4"/>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1399"/>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27FE"/>
    <w:rsid w:val="00864895"/>
    <w:rsid w:val="008666CD"/>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3D31"/>
    <w:rsid w:val="008D4308"/>
    <w:rsid w:val="008E0DAB"/>
    <w:rsid w:val="008E2BFC"/>
    <w:rsid w:val="008F1A79"/>
    <w:rsid w:val="008F262B"/>
    <w:rsid w:val="008F330B"/>
    <w:rsid w:val="008F77F6"/>
    <w:rsid w:val="0090049F"/>
    <w:rsid w:val="009008AA"/>
    <w:rsid w:val="00904141"/>
    <w:rsid w:val="0090482F"/>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278D"/>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3622"/>
    <w:rsid w:val="00B1657A"/>
    <w:rsid w:val="00B220C2"/>
    <w:rsid w:val="00B26E0F"/>
    <w:rsid w:val="00B3172E"/>
    <w:rsid w:val="00B345DF"/>
    <w:rsid w:val="00B378E5"/>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D5025"/>
    <w:rsid w:val="00BE4135"/>
    <w:rsid w:val="00BE5DED"/>
    <w:rsid w:val="00BE65DF"/>
    <w:rsid w:val="00BF0A10"/>
    <w:rsid w:val="00BF106C"/>
    <w:rsid w:val="00BF112D"/>
    <w:rsid w:val="00BF4D4F"/>
    <w:rsid w:val="00BF715D"/>
    <w:rsid w:val="00C04FC3"/>
    <w:rsid w:val="00C100F3"/>
    <w:rsid w:val="00C10AD2"/>
    <w:rsid w:val="00C1136C"/>
    <w:rsid w:val="00C1219A"/>
    <w:rsid w:val="00C12F55"/>
    <w:rsid w:val="00C14C28"/>
    <w:rsid w:val="00C15EB2"/>
    <w:rsid w:val="00C16518"/>
    <w:rsid w:val="00C26D21"/>
    <w:rsid w:val="00C307C8"/>
    <w:rsid w:val="00C33A80"/>
    <w:rsid w:val="00C40669"/>
    <w:rsid w:val="00C42228"/>
    <w:rsid w:val="00C42C24"/>
    <w:rsid w:val="00C42D67"/>
    <w:rsid w:val="00C472D5"/>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2224"/>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4A5"/>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409C"/>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0729D"/>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430"/>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14D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2EF19"/>
  <w15:docId w15:val="{F7844811-D4A5-4A47-BF29-C97BBABD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List Paragraph (Czech Tourism),A-Odrážky1,Odstavec_muj1,Odstavec_muj2,Odstavec_muj3,Nad1,Odstavec_muj4,Nad2,List Paragraph2"/>
    <w:basedOn w:val="Normln"/>
    <w:link w:val="OdstavecseseznamemChar"/>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List Paragraph (Czech Tourism) Char,A-Odrážky1 Char,Odstavec_muj1 Char"/>
    <w:basedOn w:val="Standardnpsmoodstavce"/>
    <w:link w:val="Odstavecseseznamem"/>
    <w:uiPriority w:val="34"/>
    <w:rsid w:val="0010248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604922842">
      <w:bodyDiv w:val="1"/>
      <w:marLeft w:val="0"/>
      <w:marRight w:val="0"/>
      <w:marTop w:val="0"/>
      <w:marBottom w:val="0"/>
      <w:divBdr>
        <w:top w:val="none" w:sz="0" w:space="0" w:color="auto"/>
        <w:left w:val="none" w:sz="0" w:space="0" w:color="auto"/>
        <w:bottom w:val="none" w:sz="0" w:space="0" w:color="auto"/>
        <w:right w:val="none" w:sz="0" w:space="0" w:color="auto"/>
      </w:divBdr>
    </w:div>
    <w:div w:id="946157480">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RVVI\&#352;ABLONY\RVV%20SABLONY%202025_AK\4xx%20xx%20material%20RVVI_vz2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4xx xx material RVVI_vz25.dotx</Template>
  <TotalTime>104</TotalTime>
  <Pages>1</Pages>
  <Words>434</Words>
  <Characters>2567</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dc:creator>
  <cp:lastModifiedBy>Bříza Aleš</cp:lastModifiedBy>
  <cp:revision>5</cp:revision>
  <cp:lastPrinted>2020-10-29T10:28:00Z</cp:lastPrinted>
  <dcterms:created xsi:type="dcterms:W3CDTF">2025-04-07T06:00:00Z</dcterms:created>
  <dcterms:modified xsi:type="dcterms:W3CDTF">2025-05-09T10:49:00Z</dcterms:modified>
</cp:coreProperties>
</file>